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BA27" w14:textId="3FC5ED83" w:rsidR="008D57AB" w:rsidRPr="00A97BF9" w:rsidRDefault="008D57AB" w:rsidP="008D57AB">
      <w:pPr>
        <w:jc w:val="both"/>
        <w:rPr>
          <w:rFonts w:ascii="TimesNewRomanPS-BoldMT" w:hAnsi="TimesNewRomanPS-BoldMT"/>
          <w:b/>
          <w:bCs/>
          <w:color w:val="000000"/>
        </w:rPr>
      </w:pPr>
      <w:bookmarkStart w:id="0" w:name="_Hlk179909801"/>
      <w:r w:rsidRPr="008D57AB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523A2" w:rsidRPr="00A97BF9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F73754" w14:textId="39F8C204" w:rsidR="00467C48" w:rsidRDefault="00467C48" w:rsidP="006523A2">
      <w:pPr>
        <w:jc w:val="right"/>
        <w:rPr>
          <w:color w:val="000000"/>
          <w:spacing w:val="-5"/>
        </w:rPr>
      </w:pPr>
    </w:p>
    <w:p w14:paraId="076F05A6" w14:textId="77777777" w:rsidR="00BC2976" w:rsidRDefault="00467C48" w:rsidP="00467C48">
      <w:pPr>
        <w:shd w:val="clear" w:color="auto" w:fill="FFFFFF"/>
        <w:tabs>
          <w:tab w:val="left" w:pos="1186"/>
        </w:tabs>
        <w:ind w:right="397"/>
        <w:jc w:val="center"/>
        <w:rPr>
          <w:rFonts w:eastAsia="TimesNewRomanPSMT"/>
          <w:b/>
          <w:bCs/>
          <w:sz w:val="28"/>
          <w:szCs w:val="28"/>
        </w:rPr>
      </w:pPr>
      <w:r>
        <w:rPr>
          <w:rFonts w:eastAsia="TimesNewRomanPSMT"/>
          <w:b/>
          <w:bCs/>
          <w:sz w:val="28"/>
          <w:szCs w:val="28"/>
        </w:rPr>
        <w:t xml:space="preserve">Информация </w:t>
      </w:r>
      <w:r w:rsidRPr="00735688">
        <w:rPr>
          <w:rFonts w:eastAsia="TimesNewRomanPSMT"/>
          <w:b/>
          <w:bCs/>
          <w:sz w:val="28"/>
          <w:szCs w:val="28"/>
        </w:rPr>
        <w:t xml:space="preserve">о сумме вознаграждения </w:t>
      </w:r>
      <w:r>
        <w:rPr>
          <w:rFonts w:eastAsia="TimesNewRomanPSMT"/>
          <w:b/>
          <w:bCs/>
          <w:sz w:val="28"/>
          <w:szCs w:val="28"/>
        </w:rPr>
        <w:t xml:space="preserve">внешнему </w:t>
      </w:r>
      <w:r w:rsidRPr="00735688">
        <w:rPr>
          <w:rFonts w:eastAsia="TimesNewRomanPSMT"/>
          <w:b/>
          <w:bCs/>
          <w:sz w:val="28"/>
          <w:szCs w:val="28"/>
        </w:rPr>
        <w:t xml:space="preserve">Аудитору, </w:t>
      </w:r>
    </w:p>
    <w:p w14:paraId="13DDFA10" w14:textId="77777777" w:rsidR="00BC2976" w:rsidRDefault="00467C48" w:rsidP="00467C48">
      <w:pPr>
        <w:shd w:val="clear" w:color="auto" w:fill="FFFFFF"/>
        <w:tabs>
          <w:tab w:val="left" w:pos="1186"/>
        </w:tabs>
        <w:ind w:right="397"/>
        <w:jc w:val="center"/>
        <w:rPr>
          <w:rFonts w:eastAsia="TimesNewRomanPSMT"/>
          <w:b/>
          <w:bCs/>
          <w:sz w:val="28"/>
          <w:szCs w:val="28"/>
        </w:rPr>
      </w:pPr>
      <w:r w:rsidRPr="00735688">
        <w:rPr>
          <w:rFonts w:eastAsia="TimesNewRomanPSMT"/>
          <w:b/>
          <w:bCs/>
          <w:sz w:val="28"/>
          <w:szCs w:val="28"/>
        </w:rPr>
        <w:t xml:space="preserve">предусмотренной заключенными договорами </w:t>
      </w:r>
    </w:p>
    <w:p w14:paraId="14127BFE" w14:textId="49386741" w:rsidR="00467C48" w:rsidRPr="00735688" w:rsidRDefault="00467C48" w:rsidP="00467C48">
      <w:pPr>
        <w:shd w:val="clear" w:color="auto" w:fill="FFFFFF"/>
        <w:tabs>
          <w:tab w:val="left" w:pos="1186"/>
        </w:tabs>
        <w:ind w:right="397"/>
        <w:jc w:val="center"/>
        <w:rPr>
          <w:rFonts w:eastAsia="TimesNewRomanPSMT"/>
          <w:b/>
          <w:bCs/>
          <w:sz w:val="28"/>
          <w:szCs w:val="28"/>
        </w:rPr>
      </w:pPr>
      <w:r w:rsidRPr="00735688">
        <w:rPr>
          <w:rFonts w:eastAsia="TimesNewRomanPSMT"/>
          <w:b/>
          <w:bCs/>
          <w:sz w:val="28"/>
          <w:szCs w:val="28"/>
        </w:rPr>
        <w:t>на оказание аудиторских и неаудиторских услуг за</w:t>
      </w:r>
      <w:r>
        <w:rPr>
          <w:rFonts w:eastAsia="TimesNewRomanPSMT"/>
          <w:b/>
          <w:bCs/>
          <w:sz w:val="28"/>
          <w:szCs w:val="28"/>
        </w:rPr>
        <w:t xml:space="preserve"> 2024</w:t>
      </w:r>
      <w:r w:rsidRPr="00735688">
        <w:rPr>
          <w:rFonts w:eastAsia="TimesNewRomanPSMT"/>
          <w:b/>
          <w:bCs/>
          <w:sz w:val="28"/>
          <w:szCs w:val="28"/>
        </w:rPr>
        <w:t xml:space="preserve"> год</w:t>
      </w:r>
    </w:p>
    <w:p w14:paraId="242B7706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3281DA0D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2106"/>
        <w:gridCol w:w="1659"/>
        <w:gridCol w:w="1652"/>
        <w:gridCol w:w="1529"/>
      </w:tblGrid>
      <w:tr w:rsidR="00BF5FD7" w:rsidRPr="00562DEB" w14:paraId="5DA7E386" w14:textId="77777777" w:rsidTr="007D16DC">
        <w:trPr>
          <w:trHeight w:val="88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964" w14:textId="77777777" w:rsidR="00BF5FD7" w:rsidRPr="00562DEB" w:rsidRDefault="00BF5FD7" w:rsidP="00BF5FD7">
            <w:pPr>
              <w:ind w:left="360"/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EF720" w14:textId="77777777" w:rsidR="00BF5FD7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  <w:p w14:paraId="5682D9D7" w14:textId="77777777" w:rsidR="00BF5FD7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  <w:p w14:paraId="58E95328" w14:textId="77777777" w:rsidR="00BF5FD7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  <w:p w14:paraId="37FAF037" w14:textId="74EBEC56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  <w:r w:rsidRPr="00DB33AD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54E8" w14:textId="4B23D04D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аудиторской организации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7C7" w14:textId="77777777" w:rsidR="00BF5FD7" w:rsidRDefault="00BF5FD7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 xml:space="preserve">Сумма по договору </w:t>
            </w:r>
            <w:r>
              <w:rPr>
                <w:b/>
                <w:bCs/>
                <w:color w:val="000000"/>
              </w:rPr>
              <w:t>(с учетом НДС),</w:t>
            </w:r>
          </w:p>
          <w:p w14:paraId="679F19A6" w14:textId="77777777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 </w:t>
            </w:r>
            <w:r w:rsidRPr="00562DEB">
              <w:rPr>
                <w:b/>
                <w:bCs/>
                <w:color w:val="000000"/>
              </w:rPr>
              <w:t>тыс. тенге</w:t>
            </w:r>
          </w:p>
        </w:tc>
      </w:tr>
      <w:tr w:rsidR="00BF5FD7" w:rsidRPr="00562DEB" w14:paraId="4CEC6BB4" w14:textId="77777777" w:rsidTr="007D16DC">
        <w:trPr>
          <w:trHeight w:val="31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CF1" w14:textId="77777777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5A9CC" w14:textId="0EBE752F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0430" w14:textId="12AF74EF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CE0" w14:textId="77777777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5187" w14:textId="77777777" w:rsidR="00BF5FD7" w:rsidRPr="00562DEB" w:rsidRDefault="00BF5FD7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в том числе по годам</w:t>
            </w:r>
          </w:p>
        </w:tc>
      </w:tr>
      <w:tr w:rsidR="0014130B" w:rsidRPr="00562DEB" w14:paraId="4874DABD" w14:textId="77777777" w:rsidTr="007D16DC">
        <w:trPr>
          <w:trHeight w:val="31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B30E" w14:textId="77777777" w:rsidR="0014130B" w:rsidRPr="00562DEB" w:rsidRDefault="0014130B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798" w14:textId="1698C350" w:rsidR="0014130B" w:rsidRPr="00562DEB" w:rsidRDefault="0014130B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1AF" w14:textId="07D8B0FB" w:rsidR="0014130B" w:rsidRPr="00562DEB" w:rsidRDefault="0014130B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978" w14:textId="77777777" w:rsidR="0014130B" w:rsidRPr="00562DEB" w:rsidRDefault="0014130B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B98" w14:textId="2B0AB35E" w:rsidR="0014130B" w:rsidRDefault="0014130B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23</w:t>
            </w:r>
          </w:p>
          <w:p w14:paraId="39D3BF9A" w14:textId="77777777" w:rsidR="0014130B" w:rsidRDefault="0014130B" w:rsidP="00BF5FD7">
            <w:pPr>
              <w:jc w:val="center"/>
              <w:rPr>
                <w:b/>
                <w:bCs/>
                <w:color w:val="000000"/>
              </w:rPr>
            </w:pPr>
            <w:r w:rsidRPr="00566F75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предшествующий </w:t>
            </w:r>
            <w:r w:rsidRPr="00566F75">
              <w:rPr>
                <w:color w:val="000000"/>
                <w:sz w:val="18"/>
                <w:szCs w:val="18"/>
              </w:rPr>
              <w:t>отчетн</w:t>
            </w:r>
            <w:r>
              <w:rPr>
                <w:color w:val="000000"/>
                <w:sz w:val="18"/>
                <w:szCs w:val="18"/>
              </w:rPr>
              <w:t>ому</w:t>
            </w:r>
            <w:r w:rsidRPr="00566F75">
              <w:rPr>
                <w:color w:val="000000"/>
                <w:sz w:val="18"/>
                <w:szCs w:val="18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566F75">
              <w:rPr>
                <w:color w:val="000000"/>
                <w:sz w:val="18"/>
                <w:szCs w:val="18"/>
              </w:rPr>
              <w:t>)</w:t>
            </w:r>
          </w:p>
          <w:p w14:paraId="0B6A5AAE" w14:textId="77777777" w:rsidR="0014130B" w:rsidRPr="00562DEB" w:rsidRDefault="0014130B" w:rsidP="00BF5F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6FA0" w14:textId="63DB8A78" w:rsidR="0014130B" w:rsidRDefault="0014130B" w:rsidP="00BF5FD7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24</w:t>
            </w:r>
          </w:p>
          <w:p w14:paraId="5937F942" w14:textId="77777777" w:rsidR="0014130B" w:rsidRPr="00735688" w:rsidRDefault="0014130B" w:rsidP="00BF5FD7">
            <w:pPr>
              <w:jc w:val="center"/>
              <w:rPr>
                <w:color w:val="000000"/>
              </w:rPr>
            </w:pPr>
            <w:r w:rsidRPr="00735688">
              <w:rPr>
                <w:color w:val="000000"/>
                <w:sz w:val="18"/>
                <w:szCs w:val="18"/>
              </w:rPr>
              <w:t>(отчетный год)</w:t>
            </w:r>
          </w:p>
        </w:tc>
      </w:tr>
      <w:tr w:rsidR="0014130B" w:rsidRPr="00562DEB" w14:paraId="6A9666CD" w14:textId="77777777" w:rsidTr="007D16DC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506A" w14:textId="77777777" w:rsidR="0014130B" w:rsidRPr="00562DEB" w:rsidRDefault="0014130B" w:rsidP="00CC6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4C06" w14:textId="44DDEAC5" w:rsidR="0014130B" w:rsidRDefault="0014130B" w:rsidP="00CC6C5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BE7C" w14:textId="0D452CA7" w:rsidR="0014130B" w:rsidRPr="00562DEB" w:rsidRDefault="0014130B" w:rsidP="00CC6C54"/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4F19" w14:textId="77777777" w:rsidR="0014130B" w:rsidRPr="00562DEB" w:rsidRDefault="0014130B" w:rsidP="00CC6C54">
            <w:pPr>
              <w:jc w:val="right"/>
              <w:rPr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25B6" w14:textId="77777777" w:rsidR="0014130B" w:rsidRPr="00562DEB" w:rsidRDefault="0014130B" w:rsidP="00CC6C54">
            <w:pPr>
              <w:jc w:val="right"/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705C" w14:textId="77777777" w:rsidR="0014130B" w:rsidRPr="00562DEB" w:rsidRDefault="0014130B" w:rsidP="00CC6C54">
            <w:pPr>
              <w:jc w:val="right"/>
              <w:rPr>
                <w:color w:val="000000"/>
              </w:rPr>
            </w:pPr>
          </w:p>
        </w:tc>
      </w:tr>
      <w:tr w:rsidR="0014130B" w:rsidRPr="00562DEB" w14:paraId="2048CF68" w14:textId="77777777" w:rsidTr="007D16DC">
        <w:trPr>
          <w:trHeight w:val="23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A88E" w14:textId="77777777" w:rsidR="0014130B" w:rsidRPr="00562DEB" w:rsidRDefault="0014130B" w:rsidP="00CC6C54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692D" w14:textId="67472733" w:rsidR="0014130B" w:rsidRDefault="0014130B" w:rsidP="00467C48">
            <w:pPr>
              <w:jc w:val="center"/>
            </w:pPr>
            <w:r>
              <w:rPr>
                <w:color w:val="000000"/>
              </w:rPr>
              <w:t>АО «</w:t>
            </w:r>
            <w:r>
              <w:rPr>
                <w:color w:val="000000"/>
                <w:lang w:val="kk-KZ"/>
              </w:rPr>
              <w:t>Қазтеміртранс</w:t>
            </w:r>
            <w:r>
              <w:rPr>
                <w:color w:val="000000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082" w14:textId="7AD2E692" w:rsidR="0014130B" w:rsidRPr="00562DEB" w:rsidRDefault="0014130B" w:rsidP="00467C48">
            <w:pPr>
              <w:jc w:val="center"/>
            </w:pPr>
            <w:r>
              <w:t>ТОО «Делойт»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DED9" w14:textId="3D5EE90D" w:rsidR="0014130B" w:rsidRPr="00562DEB" w:rsidRDefault="0014130B" w:rsidP="00467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182 672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20EC" w14:textId="77F709EF" w:rsidR="0014130B" w:rsidRPr="00562DEB" w:rsidRDefault="0014130B" w:rsidP="00467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BB67" w14:textId="301F2722" w:rsidR="0014130B" w:rsidRPr="00562DEB" w:rsidRDefault="0014130B" w:rsidP="00467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63 168</w:t>
            </w:r>
          </w:p>
        </w:tc>
      </w:tr>
      <w:tr w:rsidR="0014130B" w:rsidRPr="00562DEB" w14:paraId="7C5BDC5A" w14:textId="77777777" w:rsidTr="007D16DC">
        <w:trPr>
          <w:trHeight w:val="23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7D3C" w14:textId="77777777" w:rsidR="0014130B" w:rsidRPr="00562DEB" w:rsidRDefault="0014130B" w:rsidP="00CC6C54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8DE8" w14:textId="347F518A" w:rsidR="0014130B" w:rsidRPr="00B97F01" w:rsidRDefault="0014130B" w:rsidP="00B97F01">
            <w:pPr>
              <w:jc w:val="center"/>
            </w:pPr>
            <w:r>
              <w:rPr>
                <w:color w:val="000000"/>
                <w:lang w:val="kk-KZ"/>
              </w:rPr>
              <w:t>ТОО «ВСЗ Тулпар</w:t>
            </w:r>
            <w:r>
              <w:rPr>
                <w:color w:val="000000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FF8" w14:textId="5E0D4B2B" w:rsidR="0014130B" w:rsidRPr="00562DEB" w:rsidRDefault="0014130B" w:rsidP="00B97F01">
            <w:pPr>
              <w:jc w:val="center"/>
            </w:pPr>
            <w:r w:rsidRPr="00B97F01">
              <w:t xml:space="preserve">ТОО «RSM </w:t>
            </w:r>
            <w:proofErr w:type="spellStart"/>
            <w:r w:rsidRPr="00B97F01">
              <w:t>Qazaqstan</w:t>
            </w:r>
            <w:proofErr w:type="spellEnd"/>
            <w:r w:rsidRPr="00B97F01">
              <w:t>»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DBE4" w14:textId="7EA9C3DD" w:rsidR="0014130B" w:rsidRPr="00562DEB" w:rsidRDefault="0014130B" w:rsidP="00B97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8CB3" w14:textId="77777777" w:rsidR="0014130B" w:rsidRPr="00562DEB" w:rsidRDefault="0014130B" w:rsidP="00B97F01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904A" w14:textId="1B261F5E" w:rsidR="0014130B" w:rsidRPr="00562DEB" w:rsidRDefault="0014130B" w:rsidP="00B97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8 960</w:t>
            </w:r>
          </w:p>
        </w:tc>
      </w:tr>
      <w:tr w:rsidR="0014130B" w:rsidRPr="00562DEB" w14:paraId="0C2EBCD4" w14:textId="77777777" w:rsidTr="007D16DC">
        <w:trPr>
          <w:trHeight w:val="42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5C02" w14:textId="77777777" w:rsidR="0014130B" w:rsidRPr="00735688" w:rsidRDefault="0014130B" w:rsidP="00B35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35688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65E1" w14:textId="104B47AA" w:rsidR="0014130B" w:rsidRDefault="0014130B" w:rsidP="00B3535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Неаудиторские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A78B" w14:textId="12350163" w:rsidR="0014130B" w:rsidRPr="00562DEB" w:rsidRDefault="0014130B" w:rsidP="00B3535A">
            <w:pPr>
              <w:rPr>
                <w:b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97A4" w14:textId="77777777" w:rsidR="0014130B" w:rsidRPr="00562DEB" w:rsidRDefault="0014130B" w:rsidP="00B3535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365C" w14:textId="77777777" w:rsidR="0014130B" w:rsidRPr="00562DEB" w:rsidRDefault="0014130B" w:rsidP="00B3535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41B5" w14:textId="77777777" w:rsidR="0014130B" w:rsidRPr="00562DEB" w:rsidRDefault="0014130B" w:rsidP="00B3535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4130B" w:rsidRPr="00562DEB" w14:paraId="3F46C311" w14:textId="77777777" w:rsidTr="007D16DC">
        <w:trPr>
          <w:trHeight w:val="25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BB1F" w14:textId="77777777" w:rsidR="0014130B" w:rsidRPr="00D0613A" w:rsidRDefault="0014130B" w:rsidP="00B3535A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BF63E" w14:textId="77777777" w:rsidR="0014130B" w:rsidRPr="00D0613A" w:rsidRDefault="0014130B" w:rsidP="00B3535A">
            <w:pPr>
              <w:rPr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979C" w14:textId="1BE4DCEB" w:rsidR="0014130B" w:rsidRPr="00D0613A" w:rsidRDefault="0014130B" w:rsidP="00B3535A">
            <w:pPr>
              <w:rPr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0AA1" w14:textId="77777777" w:rsidR="0014130B" w:rsidRPr="00D0613A" w:rsidRDefault="0014130B" w:rsidP="00B3535A">
            <w:pPr>
              <w:jc w:val="right"/>
              <w:rPr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7C7B" w14:textId="77777777" w:rsidR="0014130B" w:rsidRPr="00D0613A" w:rsidRDefault="0014130B" w:rsidP="00B3535A">
            <w:pPr>
              <w:jc w:val="right"/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6B27" w14:textId="77777777" w:rsidR="0014130B" w:rsidRPr="00562DEB" w:rsidRDefault="0014130B" w:rsidP="00B3535A">
            <w:pPr>
              <w:rPr>
                <w:b/>
                <w:bCs/>
                <w:color w:val="000000"/>
              </w:rPr>
            </w:pPr>
          </w:p>
        </w:tc>
      </w:tr>
      <w:tr w:rsidR="0014130B" w:rsidRPr="00562DEB" w14:paraId="3FEE5900" w14:textId="77777777" w:rsidTr="007D16DC">
        <w:trPr>
          <w:trHeight w:val="16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06BC" w14:textId="77777777" w:rsidR="0014130B" w:rsidRPr="00562DEB" w:rsidRDefault="0014130B" w:rsidP="00B3535A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C783" w14:textId="77777777" w:rsidR="000970F9" w:rsidRDefault="000970F9" w:rsidP="00B3535A">
            <w:pPr>
              <w:rPr>
                <w:b/>
                <w:bCs/>
                <w:color w:val="000000"/>
              </w:rPr>
            </w:pPr>
          </w:p>
          <w:p w14:paraId="3CE61655" w14:textId="77777777" w:rsidR="000970F9" w:rsidRDefault="000970F9" w:rsidP="00B3535A">
            <w:pPr>
              <w:rPr>
                <w:b/>
                <w:bCs/>
                <w:color w:val="000000"/>
              </w:rPr>
            </w:pPr>
          </w:p>
          <w:p w14:paraId="7F408477" w14:textId="2C7B8259" w:rsidR="0014130B" w:rsidRPr="00562DEB" w:rsidRDefault="000970F9" w:rsidP="00B3535A">
            <w:pPr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569" w14:textId="59B9AE88" w:rsidR="0014130B" w:rsidRPr="00562DEB" w:rsidRDefault="0014130B" w:rsidP="00B3535A">
            <w:pPr>
              <w:rPr>
                <w:b/>
                <w:bCs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418C" w14:textId="60469BF8" w:rsidR="0014130B" w:rsidRPr="00562DEB" w:rsidRDefault="0014130B" w:rsidP="00B3535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191 632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5ED2" w14:textId="7AD12CEC" w:rsidR="0014130B" w:rsidRPr="00562DEB" w:rsidRDefault="0014130B" w:rsidP="00B3535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61 040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524A" w14:textId="2EAE4A87" w:rsidR="0014130B" w:rsidRPr="00562DEB" w:rsidRDefault="0014130B" w:rsidP="00B3535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72 128</w:t>
            </w:r>
          </w:p>
        </w:tc>
      </w:tr>
    </w:tbl>
    <w:p w14:paraId="35D925DA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668DE64C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47D9E3F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024DF41A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4E0C07D3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520D507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20B2D123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0191AAE1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D2CCC33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0ECBCEA6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54D77725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2439226D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4396A2AA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4F0FE36F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E7E183B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FDF9B95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56A8E2BA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5B21DCB4" w14:textId="77777777" w:rsidR="000B7C6A" w:rsidRDefault="000B7C6A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3E291F14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16D5D6BB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7D9F4D86" w14:textId="77777777" w:rsidR="004839B8" w:rsidRDefault="004839B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5182B545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p w14:paraId="1E70F8CD" w14:textId="77777777" w:rsidR="00467C48" w:rsidRDefault="00467C48" w:rsidP="00467C48">
      <w:pPr>
        <w:shd w:val="clear" w:color="auto" w:fill="FFFFFF"/>
        <w:tabs>
          <w:tab w:val="left" w:pos="1186"/>
        </w:tabs>
        <w:ind w:right="397"/>
        <w:jc w:val="center"/>
        <w:rPr>
          <w:rFonts w:eastAsia="TimesNewRomanPSMT"/>
          <w:b/>
          <w:bCs/>
          <w:sz w:val="28"/>
          <w:szCs w:val="28"/>
        </w:rPr>
      </w:pPr>
      <w:r w:rsidRPr="00735688">
        <w:rPr>
          <w:rFonts w:eastAsia="TimesNewRomanPSMT"/>
          <w:b/>
          <w:bCs/>
          <w:sz w:val="28"/>
          <w:szCs w:val="28"/>
        </w:rPr>
        <w:t xml:space="preserve">Информация о вознаграждении, выплаченном внешнему Аудитору за оказание </w:t>
      </w:r>
    </w:p>
    <w:p w14:paraId="6F05970D" w14:textId="0D308883" w:rsidR="00467C48" w:rsidRPr="00735688" w:rsidRDefault="00467C48" w:rsidP="00467C48">
      <w:pPr>
        <w:shd w:val="clear" w:color="auto" w:fill="FFFFFF"/>
        <w:tabs>
          <w:tab w:val="left" w:pos="1186"/>
        </w:tabs>
        <w:ind w:right="397"/>
        <w:jc w:val="center"/>
        <w:rPr>
          <w:b/>
          <w:bCs/>
          <w:spacing w:val="-5"/>
        </w:rPr>
      </w:pPr>
      <w:r w:rsidRPr="00735688">
        <w:rPr>
          <w:rFonts w:eastAsia="TimesNewRomanPSMT"/>
          <w:b/>
          <w:bCs/>
          <w:sz w:val="28"/>
          <w:szCs w:val="28"/>
        </w:rPr>
        <w:t>аудиторских и неаудиторских услуг за 20</w:t>
      </w:r>
      <w:r>
        <w:rPr>
          <w:rFonts w:eastAsia="TimesNewRomanPSMT"/>
          <w:b/>
          <w:bCs/>
          <w:sz w:val="28"/>
          <w:szCs w:val="28"/>
        </w:rPr>
        <w:t>24</w:t>
      </w:r>
      <w:r w:rsidRPr="00735688">
        <w:rPr>
          <w:rFonts w:eastAsia="TimesNewRomanPSMT"/>
          <w:b/>
          <w:bCs/>
          <w:sz w:val="28"/>
          <w:szCs w:val="28"/>
        </w:rPr>
        <w:t xml:space="preserve"> год</w:t>
      </w:r>
    </w:p>
    <w:p w14:paraId="4480D1F9" w14:textId="77777777" w:rsidR="00467C48" w:rsidRDefault="00467C48" w:rsidP="00467C48">
      <w:pPr>
        <w:ind w:left="11199"/>
        <w:rPr>
          <w:bCs/>
          <w:color w:val="000000"/>
          <w:sz w:val="20"/>
          <w:szCs w:val="20"/>
        </w:rPr>
      </w:pPr>
      <w:r w:rsidRPr="004406C8">
        <w:rPr>
          <w:bCs/>
          <w:color w:val="000000"/>
          <w:sz w:val="20"/>
          <w:szCs w:val="20"/>
        </w:rPr>
        <w:t xml:space="preserve"> </w:t>
      </w:r>
    </w:p>
    <w:p w14:paraId="1D0407DD" w14:textId="77777777" w:rsidR="00467C48" w:rsidRDefault="00467C48" w:rsidP="00467C48">
      <w:pPr>
        <w:shd w:val="clear" w:color="auto" w:fill="FFFFFF"/>
        <w:tabs>
          <w:tab w:val="left" w:pos="1186"/>
        </w:tabs>
        <w:spacing w:before="125" w:line="221" w:lineRule="exact"/>
        <w:ind w:right="403"/>
        <w:rPr>
          <w:color w:val="000000"/>
          <w:spacing w:val="-5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960"/>
        <w:gridCol w:w="2154"/>
        <w:gridCol w:w="2693"/>
        <w:gridCol w:w="2126"/>
        <w:gridCol w:w="2126"/>
        <w:gridCol w:w="21"/>
      </w:tblGrid>
      <w:tr w:rsidR="00467C48" w14:paraId="73F06ED9" w14:textId="77777777" w:rsidTr="00C51B80">
        <w:trPr>
          <w:gridAfter w:val="1"/>
          <w:wAfter w:w="21" w:type="dxa"/>
          <w:trHeight w:val="143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AEC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BE12" w14:textId="77777777" w:rsidR="00467C48" w:rsidRDefault="00467C48" w:rsidP="00CC6C54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kk-KZ"/>
              </w:rPr>
              <w:t xml:space="preserve">аудиторской </w:t>
            </w:r>
          </w:p>
          <w:p w14:paraId="35B08651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99BB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услуг, оказанных аудиторской организацией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7FA4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выплаченного вознаграждения (с учетом НДС), в тыс. тенге</w:t>
            </w:r>
          </w:p>
        </w:tc>
      </w:tr>
      <w:tr w:rsidR="00467C48" w14:paraId="4FFA3A99" w14:textId="77777777" w:rsidTr="00C51B80">
        <w:trPr>
          <w:gridAfter w:val="1"/>
          <w:wAfter w:w="21" w:type="dxa"/>
          <w:trHeight w:val="8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647B" w14:textId="77777777" w:rsidR="00467C48" w:rsidRDefault="00467C48" w:rsidP="00CC6C54">
            <w:pPr>
              <w:rPr>
                <w:b/>
                <w:bCs/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A104" w14:textId="77777777" w:rsidR="00467C48" w:rsidRDefault="00467C48" w:rsidP="00CC6C5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0A97" w14:textId="77777777" w:rsidR="00467C48" w:rsidRDefault="00467C48" w:rsidP="00CC6C54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3187" w14:textId="1943E244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23</w:t>
            </w:r>
          </w:p>
          <w:p w14:paraId="047DC663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 w:rsidRPr="00566F75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прошлый</w:t>
            </w:r>
            <w:r w:rsidRPr="00566F75">
              <w:rPr>
                <w:color w:val="000000"/>
                <w:sz w:val="18"/>
                <w:szCs w:val="18"/>
              </w:rPr>
              <w:t xml:space="preserve"> год)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7C3C" w14:textId="27488000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 w:rsidRPr="00562DE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24</w:t>
            </w:r>
          </w:p>
          <w:p w14:paraId="271AF373" w14:textId="77777777" w:rsidR="00467C48" w:rsidRDefault="00467C48" w:rsidP="00CC6C54">
            <w:pPr>
              <w:jc w:val="center"/>
              <w:rPr>
                <w:b/>
                <w:bCs/>
                <w:color w:val="000000"/>
              </w:rPr>
            </w:pPr>
            <w:r w:rsidRPr="00566F75">
              <w:rPr>
                <w:color w:val="000000"/>
                <w:sz w:val="18"/>
                <w:szCs w:val="18"/>
              </w:rPr>
              <w:t>(отчетны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566F75">
              <w:rPr>
                <w:color w:val="000000"/>
                <w:sz w:val="18"/>
                <w:szCs w:val="18"/>
              </w:rPr>
              <w:t xml:space="preserve"> год)</w:t>
            </w:r>
          </w:p>
        </w:tc>
      </w:tr>
      <w:tr w:rsidR="00467C48" w14:paraId="63503EA1" w14:textId="77777777" w:rsidTr="00C51B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E5C9" w14:textId="77777777" w:rsidR="00467C48" w:rsidRPr="00E71E12" w:rsidRDefault="00467C48" w:rsidP="00CC6C5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1.</w:t>
            </w:r>
          </w:p>
        </w:tc>
        <w:tc>
          <w:tcPr>
            <w:tcW w:w="9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2092" w14:textId="77777777" w:rsidR="00467C48" w:rsidRDefault="00467C48" w:rsidP="00CC6C5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</w:tr>
      <w:tr w:rsidR="00467C48" w14:paraId="581F27E1" w14:textId="77777777" w:rsidTr="00C51B80">
        <w:trPr>
          <w:gridAfter w:val="1"/>
          <w:wAfter w:w="21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8C2B" w14:textId="77777777" w:rsidR="00467C48" w:rsidRDefault="00467C48" w:rsidP="00CC6C54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13C0" w14:textId="0D495BE7" w:rsidR="00467C48" w:rsidRDefault="00467C48" w:rsidP="00CC6C54">
            <w:pPr>
              <w:rPr>
                <w:color w:val="000000"/>
              </w:rPr>
            </w:pPr>
            <w:r>
              <w:rPr>
                <w:color w:val="000000"/>
              </w:rPr>
              <w:t>ТОО «Делойт»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6A3E" w14:textId="77777777" w:rsidR="008C4C50" w:rsidRDefault="00467C48" w:rsidP="00CC6C54">
            <w:pPr>
              <w:rPr>
                <w:color w:val="000000"/>
              </w:rPr>
            </w:pPr>
            <w:r>
              <w:rPr>
                <w:color w:val="000000"/>
              </w:rPr>
              <w:t>Аудит финансовой отчетности</w:t>
            </w:r>
            <w:r w:rsidR="00003799">
              <w:rPr>
                <w:color w:val="000000"/>
              </w:rPr>
              <w:t xml:space="preserve"> </w:t>
            </w:r>
          </w:p>
          <w:p w14:paraId="25CFAD8E" w14:textId="4985308D" w:rsidR="00467C48" w:rsidRPr="001E7CF6" w:rsidRDefault="00003799" w:rsidP="00CC6C54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r>
              <w:rPr>
                <w:color w:val="000000"/>
                <w:lang w:val="kk-KZ"/>
              </w:rPr>
              <w:t>Қазтем</w:t>
            </w:r>
            <w:r w:rsidR="001E7CF6">
              <w:rPr>
                <w:color w:val="000000"/>
                <w:lang w:val="kk-KZ"/>
              </w:rPr>
              <w:t>іртранс</w:t>
            </w:r>
            <w:r w:rsidR="001E7CF6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DD5B" w14:textId="3CE4F5B9" w:rsidR="00467C48" w:rsidRDefault="00CC22BA" w:rsidP="00CC6C54">
            <w:pPr>
              <w:jc w:val="right"/>
            </w:pPr>
            <w:r>
              <w:t>61 815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AB73" w14:textId="522CDAFC" w:rsidR="00467C48" w:rsidRDefault="00CC22BA" w:rsidP="00CC6C54">
            <w:pPr>
              <w:jc w:val="right"/>
            </w:pPr>
            <w:r>
              <w:t>61 465</w:t>
            </w:r>
          </w:p>
        </w:tc>
      </w:tr>
      <w:tr w:rsidR="00CC22BA" w14:paraId="03949803" w14:textId="77777777" w:rsidTr="00C51B80">
        <w:trPr>
          <w:gridAfter w:val="1"/>
          <w:wAfter w:w="21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B43D" w14:textId="77777777" w:rsidR="00CC22BA" w:rsidRDefault="00CC22BA" w:rsidP="00CC6C54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3EEF" w14:textId="1122706A" w:rsidR="00CC22BA" w:rsidRDefault="00B97F01" w:rsidP="00CC6C54">
            <w:pPr>
              <w:rPr>
                <w:color w:val="000000"/>
              </w:rPr>
            </w:pPr>
            <w:r w:rsidRPr="00B97F01">
              <w:t xml:space="preserve">ТОО «RSM </w:t>
            </w:r>
            <w:proofErr w:type="spellStart"/>
            <w:r w:rsidRPr="00B97F01">
              <w:t>Qazaqstan</w:t>
            </w:r>
            <w:proofErr w:type="spellEnd"/>
            <w:r w:rsidRPr="00B97F01"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55AB" w14:textId="77777777" w:rsidR="008C4C50" w:rsidRDefault="00B97F01" w:rsidP="00CC6C54">
            <w:pPr>
              <w:rPr>
                <w:color w:val="000000"/>
              </w:rPr>
            </w:pPr>
            <w:r>
              <w:rPr>
                <w:color w:val="000000"/>
              </w:rPr>
              <w:t>Аудит финансовой отчетности</w:t>
            </w:r>
            <w:r w:rsidR="001E7CF6">
              <w:rPr>
                <w:color w:val="000000"/>
              </w:rPr>
              <w:t xml:space="preserve"> </w:t>
            </w:r>
          </w:p>
          <w:p w14:paraId="49972832" w14:textId="57F26B47" w:rsidR="00CC22BA" w:rsidRPr="001E7CF6" w:rsidRDefault="001E7CF6" w:rsidP="00CC6C5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ТОО «ВСЗ Тулпар</w:t>
            </w:r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EA0B" w14:textId="77777777" w:rsidR="00CC22BA" w:rsidRDefault="00CC22BA" w:rsidP="00CC6C54">
            <w:pPr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86B5" w14:textId="24AD9DC3" w:rsidR="00CC22BA" w:rsidRDefault="00B97F01" w:rsidP="00CC6C54">
            <w:pPr>
              <w:jc w:val="right"/>
            </w:pPr>
            <w:r>
              <w:t>8 960</w:t>
            </w:r>
          </w:p>
        </w:tc>
      </w:tr>
      <w:tr w:rsidR="00467C48" w14:paraId="05717038" w14:textId="77777777" w:rsidTr="00C51B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B90E" w14:textId="77777777" w:rsidR="00467C48" w:rsidRPr="00E71E12" w:rsidRDefault="00467C48" w:rsidP="00CC6C5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2.</w:t>
            </w:r>
          </w:p>
        </w:tc>
        <w:tc>
          <w:tcPr>
            <w:tcW w:w="9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3184" w14:textId="77777777" w:rsidR="00467C48" w:rsidRDefault="00467C48" w:rsidP="00CC6C5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Неаудиторские услуги</w:t>
            </w:r>
          </w:p>
        </w:tc>
      </w:tr>
      <w:tr w:rsidR="00467C48" w14:paraId="53ED0D14" w14:textId="77777777" w:rsidTr="00C51B80">
        <w:trPr>
          <w:gridAfter w:val="1"/>
          <w:wAfter w:w="21" w:type="dxa"/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D0F5" w14:textId="77777777" w:rsidR="00467C48" w:rsidRDefault="00467C48" w:rsidP="00CC6C54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452F" w14:textId="77777777" w:rsidR="00467C48" w:rsidRDefault="00467C48" w:rsidP="00CC6C54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F16B" w14:textId="77777777" w:rsidR="00467C48" w:rsidRDefault="00467C48" w:rsidP="00CC6C5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6B70" w14:textId="77777777" w:rsidR="00467C48" w:rsidRDefault="00467C48" w:rsidP="00CC6C54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9228" w14:textId="77777777" w:rsidR="00467C48" w:rsidRDefault="00467C48" w:rsidP="00CC6C54">
            <w:pPr>
              <w:jc w:val="right"/>
              <w:rPr>
                <w:color w:val="000000"/>
              </w:rPr>
            </w:pPr>
          </w:p>
        </w:tc>
      </w:tr>
      <w:tr w:rsidR="00A85191" w14:paraId="79D76E77" w14:textId="77777777" w:rsidTr="00C51B80">
        <w:trPr>
          <w:gridAfter w:val="1"/>
          <w:wAfter w:w="21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9E8B" w14:textId="77777777" w:rsidR="00A85191" w:rsidRDefault="00A85191" w:rsidP="00A85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1203" w14:textId="77777777" w:rsidR="00A85191" w:rsidRDefault="00A85191" w:rsidP="00A85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выплачено за аудиторские и неаудиторские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DCEC" w14:textId="77777777" w:rsidR="00A85191" w:rsidRDefault="00A85191" w:rsidP="00A85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2FCA" w14:textId="62480CE4" w:rsidR="00A85191" w:rsidRDefault="00A85191" w:rsidP="00A85191">
            <w:pPr>
              <w:jc w:val="right"/>
              <w:rPr>
                <w:b/>
                <w:bCs/>
                <w:color w:val="000000"/>
              </w:rPr>
            </w:pPr>
            <w:r>
              <w:t>61 815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1AFF" w14:textId="5A50ACE5" w:rsidR="00A85191" w:rsidRDefault="00B97F01" w:rsidP="00A85191">
            <w:pPr>
              <w:jc w:val="right"/>
              <w:rPr>
                <w:b/>
                <w:bCs/>
                <w:color w:val="000000"/>
              </w:rPr>
            </w:pPr>
            <w:r>
              <w:t>70 425</w:t>
            </w:r>
          </w:p>
        </w:tc>
      </w:tr>
      <w:bookmarkEnd w:id="0"/>
    </w:tbl>
    <w:p w14:paraId="58B5D685" w14:textId="77777777" w:rsidR="00467C48" w:rsidRPr="00CC7595" w:rsidRDefault="00467C48" w:rsidP="00467C48">
      <w:pPr>
        <w:shd w:val="clear" w:color="auto" w:fill="FFFFFF"/>
        <w:spacing w:before="10"/>
        <w:rPr>
          <w:sz w:val="28"/>
          <w:szCs w:val="28"/>
        </w:rPr>
      </w:pPr>
    </w:p>
    <w:p w14:paraId="17F0A4C3" w14:textId="77777777" w:rsidR="00110D57" w:rsidRDefault="00110D57"/>
    <w:sectPr w:rsidR="00110D57" w:rsidSect="00B72A48">
      <w:pgSz w:w="11906" w:h="16838"/>
      <w:pgMar w:top="962" w:right="849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Klee One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2F"/>
    <w:rsid w:val="00003799"/>
    <w:rsid w:val="00083663"/>
    <w:rsid w:val="000970F9"/>
    <w:rsid w:val="000B7C6A"/>
    <w:rsid w:val="00110D57"/>
    <w:rsid w:val="001110EB"/>
    <w:rsid w:val="0014130B"/>
    <w:rsid w:val="00183A98"/>
    <w:rsid w:val="001E7CF6"/>
    <w:rsid w:val="00396065"/>
    <w:rsid w:val="003B52A6"/>
    <w:rsid w:val="00467C48"/>
    <w:rsid w:val="004839B8"/>
    <w:rsid w:val="00591CA7"/>
    <w:rsid w:val="005D52B5"/>
    <w:rsid w:val="006523A2"/>
    <w:rsid w:val="007D16DC"/>
    <w:rsid w:val="007F791E"/>
    <w:rsid w:val="008C4C50"/>
    <w:rsid w:val="008D57AB"/>
    <w:rsid w:val="009968E4"/>
    <w:rsid w:val="00A411CA"/>
    <w:rsid w:val="00A66FF7"/>
    <w:rsid w:val="00A85191"/>
    <w:rsid w:val="00B02132"/>
    <w:rsid w:val="00B3535A"/>
    <w:rsid w:val="00B72A48"/>
    <w:rsid w:val="00B97F01"/>
    <w:rsid w:val="00BC2976"/>
    <w:rsid w:val="00BF5FD7"/>
    <w:rsid w:val="00C34C83"/>
    <w:rsid w:val="00C51B80"/>
    <w:rsid w:val="00C96158"/>
    <w:rsid w:val="00CC22BA"/>
    <w:rsid w:val="00D935C3"/>
    <w:rsid w:val="00E54717"/>
    <w:rsid w:val="00ED042F"/>
    <w:rsid w:val="00E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E43D"/>
  <w15:chartTrackingRefBased/>
  <w15:docId w15:val="{27DDB4E2-5F15-4D9F-BA68-74B63D5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4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4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4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4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4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04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4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К. Альжанова</dc:creator>
  <cp:keywords/>
  <dc:description/>
  <cp:lastModifiedBy>Айнаш К. Альжанова</cp:lastModifiedBy>
  <cp:revision>27</cp:revision>
  <dcterms:created xsi:type="dcterms:W3CDTF">2025-02-11T04:41:00Z</dcterms:created>
  <dcterms:modified xsi:type="dcterms:W3CDTF">2026-03-02T10:46:00Z</dcterms:modified>
</cp:coreProperties>
</file>